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7"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Date of Report (Date of earliest event reported) March 10, 2026</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CONSUMER PORTFOLIO SERVICES, INC.</w:t>
      </w:r>
    </w:p>
    <w:p>
      <w:pPr>
        <w:spacing w:after="0" w:line="21"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6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5400" w:type="dxa"/>
            <w:vAlign w:val="bottom"/>
            <w:tcBorders>
              <w:top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(Exact Name of Registrant as Specified in Charter)</w:t>
            </w: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367"/>
        </w:trPr>
        <w:tc>
          <w:tcPr>
            <w:tcW w:w="680" w:type="dxa"/>
            <w:vAlign w:val="bottom"/>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CALIFORNIA</w:t>
            </w:r>
          </w:p>
        </w:tc>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1-11416</w:t>
            </w:r>
          </w:p>
        </w:tc>
        <w:tc>
          <w:tcPr>
            <w:tcW w:w="2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33-0459135</w:t>
            </w:r>
          </w:p>
        </w:tc>
        <w:tc>
          <w:tcPr>
            <w:tcW w:w="800" w:type="dxa"/>
            <w:vAlign w:val="bottom"/>
          </w:tcPr>
          <w:p>
            <w:pPr>
              <w:spacing w:after="0"/>
              <w:rPr>
                <w:sz w:val="24"/>
                <w:szCs w:val="24"/>
                <w:color w:val="auto"/>
              </w:rPr>
            </w:pPr>
          </w:p>
        </w:tc>
      </w:tr>
      <w:tr>
        <w:trPr>
          <w:trHeight w:val="218"/>
        </w:trPr>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54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(Commission</w:t>
            </w:r>
          </w:p>
        </w:tc>
        <w:tc>
          <w:tcPr>
            <w:tcW w:w="2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4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8"/>
              </w:rPr>
              <w:t>File Number)</w:t>
            </w:r>
          </w:p>
        </w:tc>
        <w:tc>
          <w:tcPr>
            <w:tcW w:w="2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48"/>
        </w:trPr>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3800 Howard Hughes Pkwy, Suite 1400, Las Vegas, NV 89169</w:t>
            </w: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28"/>
        </w:trPr>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14"/>
        </w:trPr>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(949) 753-6800</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Not Applicable</w:t>
            </w: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228"/>
        </w:trPr>
        <w:tc>
          <w:tcPr>
            <w:tcW w:w="6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17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0"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80" w:type="dxa"/>
            <w:vAlign w:val="bottom"/>
            <w:tcBorders>
              <w:bottom w:val="single" w:sz="8" w:color="auto"/>
            </w:tcBorders>
          </w:tcPr>
          <w:p>
            <w:pPr>
              <w:jc w:val="center"/>
              <w:ind w:left="1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86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CPSS</w:t>
            </w:r>
          </w:p>
        </w:tc>
        <w:tc>
          <w:tcPr>
            <w:tcW w:w="46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The Nasdaq Stock Market LLC (Global Market)</w:t>
            </w:r>
          </w:p>
        </w:tc>
      </w:tr>
    </w:tbl>
    <w:p>
      <w:pPr>
        <w:spacing w:after="0" w:line="17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March 10, 2026, the registrant announced its earnings for the three-month and twelve-month periods ended December 31, 2025. A copy of the announcement is attached as an exhibit to this report. As noted in the announcement, the registrant will hold a conference call on Wednesday, March 11, 2026 at 1:00 p.m. ET to discuss its fourth-quarter 2025 operating results. Those wishing to participate can pre-register for the conference call at the following link https://register-conf.media-server.com/register/BI939b54a85b184d6b8c4cb82440102b17. Registered participants will receive an email containing conference call details for dial-in options.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Neither financial statements nor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are filed with this report.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exhibit is included with this report:</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News release re earnings.</w:t>
      </w:r>
    </w:p>
    <w:p>
      <w:pPr>
        <w:spacing w:after="0" w:line="27" w:lineRule="exact"/>
        <w:rPr>
          <w:sz w:val="20"/>
          <w:szCs w:val="20"/>
          <w:color w:val="auto"/>
        </w:rPr>
      </w:pPr>
    </w:p>
    <w:p>
      <w:pPr>
        <w:ind w:left="580" w:hanging="572"/>
        <w:spacing w:after="0"/>
        <w:tabs>
          <w:tab w:leader="none" w:pos="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8"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792" w:right="6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6160" w:type="dxa"/>
            <w:vAlign w:val="bottom"/>
            <w:gridSpan w:val="3"/>
          </w:tcPr>
          <w:p>
            <w:pPr>
              <w:ind w:left="1960"/>
              <w:spacing w:after="0"/>
              <w:rPr>
                <w:sz w:val="20"/>
                <w:szCs w:val="20"/>
                <w:color w:val="auto"/>
              </w:rPr>
            </w:pPr>
            <w:r>
              <w:rPr>
                <w:rFonts w:ascii="Times New Roman" w:cs="Times New Roman" w:eastAsia="Times New Roman" w:hAnsi="Times New Roman"/>
                <w:sz w:val="18"/>
                <w:szCs w:val="18"/>
                <w:b w:val="1"/>
                <w:bCs w:val="1"/>
                <w:color w:val="auto"/>
              </w:rPr>
              <w:t>CONSUMER PORTFOLIO SERVICES, INC.</w:t>
            </w:r>
          </w:p>
        </w:tc>
      </w:tr>
      <w:tr>
        <w:trPr>
          <w:trHeight w:val="60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10, 2026</w:t>
            </w:r>
          </w:p>
        </w:tc>
        <w:tc>
          <w:tcPr>
            <w:tcW w:w="6160" w:type="dxa"/>
            <w:vAlign w:val="bottom"/>
            <w:gridSpan w:val="3"/>
          </w:tcPr>
          <w:p>
            <w:pPr>
              <w:ind w:left="1960"/>
              <w:spacing w:after="0"/>
              <w:rPr>
                <w:sz w:val="20"/>
                <w:szCs w:val="20"/>
                <w:color w:val="auto"/>
              </w:rPr>
            </w:pPr>
            <w:r>
              <w:rPr>
                <w:rFonts w:ascii="Times New Roman" w:cs="Times New Roman" w:eastAsia="Times New Roman" w:hAnsi="Times New Roman"/>
                <w:sz w:val="18"/>
                <w:szCs w:val="18"/>
                <w:color w:val="auto"/>
              </w:rPr>
              <w:t>By: /s/ Denesh Bharwani</w:t>
            </w:r>
          </w:p>
        </w:tc>
      </w:tr>
      <w:tr>
        <w:trPr>
          <w:trHeight w:val="218"/>
        </w:trPr>
        <w:tc>
          <w:tcPr>
            <w:tcW w:w="3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8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Denesh Bharwani</w:t>
            </w:r>
          </w:p>
        </w:tc>
        <w:tc>
          <w:tcPr>
            <w:tcW w:w="1080" w:type="dxa"/>
            <w:vAlign w:val="bottom"/>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4"/>
        </w:trPr>
        <w:tc>
          <w:tcPr>
            <w:tcW w:w="3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Signing on behalf of the registrant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371600" cy="514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16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32"/>
          <w:szCs w:val="32"/>
          <w:b w:val="1"/>
          <w:bCs w:val="1"/>
          <w:i w:val="1"/>
          <w:i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CPS ANNOUNCES FOURTH QUARTER AND FULL YEAR 2025 EARNINGS</w:t>
      </w:r>
    </w:p>
    <w:p>
      <w:pPr>
        <w:spacing w:after="0" w:line="200" w:lineRule="exact"/>
        <w:rPr>
          <w:sz w:val="20"/>
          <w:szCs w:val="20"/>
          <w:color w:val="auto"/>
        </w:rPr>
      </w:pPr>
    </w:p>
    <w:p>
      <w:pPr>
        <w:spacing w:after="0" w:line="252" w:lineRule="exact"/>
        <w:rPr>
          <w:sz w:val="20"/>
          <w:szCs w:val="20"/>
          <w:color w:val="auto"/>
        </w:rPr>
      </w:pPr>
    </w:p>
    <w:p>
      <w:pPr>
        <w:ind w:left="660" w:hanging="328"/>
        <w:spacing w:after="0"/>
        <w:tabs>
          <w:tab w:leader="none" w:pos="6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Interest income increased to $422.7 million for 2025, a 16% increase from prior year</w:t>
      </w:r>
    </w:p>
    <w:p>
      <w:pPr>
        <w:spacing w:after="0" w:line="27" w:lineRule="exact"/>
        <w:rPr>
          <w:rFonts w:ascii="Wingdings" w:cs="Wingdings" w:eastAsia="Wingdings" w:hAnsi="Wingdings"/>
          <w:sz w:val="18"/>
          <w:szCs w:val="18"/>
          <w:b w:val="1"/>
          <w:bCs w:val="1"/>
          <w:color w:val="auto"/>
        </w:rPr>
      </w:pPr>
    </w:p>
    <w:p>
      <w:pPr>
        <w:ind w:left="660" w:hanging="328"/>
        <w:spacing w:after="0"/>
        <w:tabs>
          <w:tab w:leader="none" w:pos="6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New contract purchases of $1.638 billion for the full year 2025</w:t>
      </w:r>
    </w:p>
    <w:p>
      <w:pPr>
        <w:spacing w:after="0" w:line="9" w:lineRule="exact"/>
        <w:rPr>
          <w:rFonts w:ascii="Wingdings" w:cs="Wingdings" w:eastAsia="Wingdings" w:hAnsi="Wingdings"/>
          <w:sz w:val="18"/>
          <w:szCs w:val="18"/>
          <w:b w:val="1"/>
          <w:bCs w:val="1"/>
          <w:color w:val="auto"/>
        </w:rPr>
      </w:pPr>
    </w:p>
    <w:p>
      <w:pPr>
        <w:ind w:left="660" w:hanging="328"/>
        <w:spacing w:after="0"/>
        <w:tabs>
          <w:tab w:leader="none" w:pos="6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Net income of $19.3 million, or $0.80 per diluted share for 2025</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LAS VEGAS, NV, March 10, 2026 (GlobeNewswire) </w:t>
      </w:r>
      <w:r>
        <w:rPr>
          <w:rFonts w:ascii="Times New Roman" w:cs="Times New Roman" w:eastAsia="Times New Roman" w:hAnsi="Times New Roman"/>
          <w:sz w:val="18"/>
          <w:szCs w:val="18"/>
          <w:color w:val="auto"/>
        </w:rPr>
        <w:t>-- Consumer Portfolio Services, Inc. (Nasdaq: CPSS) (“CPS” or the “Company”)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earnings of $5.0 million, or $0.21 per diluted share, for its fourth quarter ended December 31, 2025.</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revenues for the fourth quarter of 2025 were $109.4 million, an increase of $4.1 million, or 3.9%, compared to $105.3 million for the fourth quarter of 2024. Total operating expenses for the fourth quarter of 2025 were $102.2 million compared to $98.0 million for the 2024 period. Pretax income for the fourth quarter of 2025 was $7.2 million, compared to $7.4 million in the fourth quarter of 2024.</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twelve months ended December 31, 2025, total revenues were $434.5 million, an increase of approximately $41.0 million, or 10.4% compared to $393.5 million for the twelve months ended December 31, 2024. The $41.0 million increase in total revenue was attributable to a $58.7 million increase in interest income, offset by lower marks on the receivables measured at fair value in the current year when compared to the prior year. Total operating expenses for the twelve months ended December 31, 2025, were $406.5 million, compared to $366.1 million for the twelve months ended December 31, 2024. Pretax income for the twelve months ended December 31, 2025, was $28.0 million, compared to $27.4 million for the twelve months ended December 31, 2024. Net income for the twelve months ended December 31, 2025, increased to $19.3 million from $19.2 million for the twelve months ended December 31,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twelve months ended, CPS purchased $1.638 billion of new contracts compared to $1.682 billion during the same period in 2024. The Company's receivables totaled $3.779 billion as of December 31, 2025, an increase from $3.760 billion as of September 30, 2025, and an increase from $3.491 billion as of December 31,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charge-offs for the twelve months of 2025 were 7.76% of the average portfolio as compared to 7.62% for the same period in 2024. Delinquencies greater than 30 days (including repossession inventory) were 14.77% of the total portfolio as of December 31, 2025, as compared to 14.85% as of December 31, 2024.</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finished 2025 with the highest recorded revenue in company history,” said Charles E. Bradley, Chief Executive Officer. “After a strong year of origination volume and improvements in operating efficiencies, we are well positioned going into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Conference Call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CPS announced that it will hold a conference call on March 11, 2026, at 1:00 p.m. ET to discuss its fourth quarter 2025 operating results.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Those wishing to participate can pre-register for the conference call at the following link https://register-conf.media-server.com/register/BI939b54a85b184d6b8c4cb82440102b17. Registered participants will receive an email containing conference call details for dial-in options. To avoid delays, we encourage participants to dial into the conference call fifteen minutes ahead of the schedule start time. A replay will be available beginning two hours after conclusion of the call for 12 months via the Company’s website at https://ir.consumerportfolio.com/investor-relations.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Consumer Portfolio Services,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Consumer Portfolio Services, Inc. is an independent specialty finance company that provides indirect automobile financing to individuals with past credit problems or limited credit histories. We purchase retail installment sales contracts primarily from franchised automobile dealerships secured by late model used vehicles and, to a lesser extent, new vehicles. We fund these contract purchases on a long-term basis primarily through the securitization markets and service the contracts over their lives.</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Forward-looking statements in this news release include the Company's recorded figures representing allowances for remaining expected lifetime credit losses, its estimates of fair value (most significantly for its receivables accounted for at fair value), its provision for credit losses, its entries offsetting the preceding, and figures derived from any of the preceding. In each case, such figures are forward-looking statements because they are dependent on the Company’s estimates of losses to be incurred in the future. The accuracy of such estimates may be adversely affected by various factors, which include the following: possible increased delinquencies; repossessions and losses on retail installment contracts; incorrect prepayment speed and/or discount rate assumptions; possible unavailability of qualified personnel, which could adversely affect the Company’s ability to service its portfolio; possible increases in the rate of consumer bankruptcy filings, which could adversely affect the Company’s rights to collect payments from its portfolio; other changes in government regulations affecting consumer credit; possible declines in the market price for used vehicles, which could adversely affect the Company’s realization upon repossessed vehicles; and economic conditions in geographic areas in which the Company's business is concentrated. Any or all of such factors also may affect the Company’s future financial results, as to which there can be no assurance. Any implication that the results of the most recently completed quarter are indicative of future results is disclaimed, and the reader should draw no such inference. Factors such as those identified above in relation to losses to be incurred in the future may affect future performance.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Danny Bharwani, Chief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949-753-6811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80" w:type="dxa"/>
            <w:vAlign w:val="bottom"/>
            <w:gridSpan w:val="7"/>
          </w:tcPr>
          <w:p>
            <w:pPr>
              <w:ind w:left="54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19"/>
                <w:szCs w:val="19"/>
                <w:color w:val="auto"/>
              </w:rPr>
            </w:pPr>
          </w:p>
        </w:tc>
        <w:tc>
          <w:tcPr>
            <w:tcW w:w="278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color w:val="auto"/>
              </w:rPr>
              <w:t>Twelve months ended</w:t>
            </w: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EEEEEE"/>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108,236</w:t>
            </w:r>
          </w:p>
        </w:tc>
        <w:tc>
          <w:tcPr>
            <w:tcW w:w="700" w:type="dxa"/>
            <w:vAlign w:val="bottom"/>
            <w:gridSpan w:val="2"/>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98,150</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422,698</w:t>
            </w:r>
          </w:p>
        </w:tc>
        <w:tc>
          <w:tcPr>
            <w:tcW w:w="680" w:type="dxa"/>
            <w:vAlign w:val="bottom"/>
            <w:gridSpan w:val="2"/>
            <w:shd w:val="clear" w:color="auto" w:fill="EEEEEE"/>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363,962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Mark to finance receivables measured at fair value</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21,000</w:t>
            </w:r>
          </w:p>
        </w:tc>
        <w:tc>
          <w:tcPr>
            <w:tcW w:w="0" w:type="dxa"/>
            <w:vAlign w:val="bottom"/>
          </w:tcPr>
          <w:p>
            <w:pPr>
              <w:spacing w:after="0"/>
              <w:rPr>
                <w:sz w:val="1"/>
                <w:szCs w:val="1"/>
                <w:color w:val="auto"/>
              </w:rPr>
            </w:pPr>
          </w:p>
        </w:tc>
      </w:tr>
      <w:tr>
        <w:trPr>
          <w:trHeight w:val="229"/>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1,174</w:t>
            </w:r>
          </w:p>
        </w:tc>
        <w:tc>
          <w:tcPr>
            <w:tcW w:w="2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2,153</w:t>
            </w: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5,272</w:t>
            </w:r>
          </w:p>
        </w:tc>
        <w:tc>
          <w:tcPr>
            <w:tcW w:w="2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8,544</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109,410</w:t>
            </w:r>
          </w:p>
        </w:tc>
        <w:tc>
          <w:tcPr>
            <w:tcW w:w="12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105,303</w:t>
            </w:r>
          </w:p>
        </w:tc>
        <w:tc>
          <w:tcPr>
            <w:tcW w:w="1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434,470</w:t>
            </w:r>
          </w:p>
        </w:tc>
        <w:tc>
          <w:tcPr>
            <w:tcW w:w="1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393,506</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Employee costs</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23,509</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23,889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95,369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96,192</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12,723</w:t>
            </w: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14,422</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52,870</w:t>
            </w: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54,710</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59,304</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52,522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232,024</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191,257</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(462)</w:t>
            </w: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(728)</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(2,934)</w:t>
            </w: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(5,307)</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7,119</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29,138</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29,223</w:t>
            </w:r>
          </w:p>
        </w:tc>
        <w:tc>
          <w:tcPr>
            <w:tcW w:w="0" w:type="dxa"/>
            <w:vAlign w:val="bottom"/>
          </w:tcPr>
          <w:p>
            <w:pPr>
              <w:spacing w:after="0"/>
              <w:rPr>
                <w:sz w:val="1"/>
                <w:szCs w:val="1"/>
                <w:color w:val="auto"/>
              </w:rPr>
            </w:pPr>
          </w:p>
        </w:tc>
      </w:tr>
      <w:tr>
        <w:trPr>
          <w:trHeight w:val="209"/>
        </w:trPr>
        <w:tc>
          <w:tcPr>
            <w:tcW w:w="474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102,193</w:t>
            </w:r>
          </w:p>
        </w:tc>
        <w:tc>
          <w:tcPr>
            <w:tcW w:w="1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480" w:type="dxa"/>
            <w:vAlign w:val="bottom"/>
            <w:tcBorders>
              <w:top w:val="single" w:sz="8" w:color="auto"/>
              <w:bottom w:val="single" w:sz="8" w:color="auto"/>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97,952</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406,467</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460" w:type="dxa"/>
            <w:vAlign w:val="bottom"/>
            <w:tcBorders>
              <w:top w:val="single" w:sz="8" w:color="auto"/>
              <w:bottom w:val="single" w:sz="8" w:color="auto"/>
            </w:tcBorders>
            <w:shd w:val="clear" w:color="auto" w:fill="EEEEEE"/>
          </w:tcPr>
          <w:p>
            <w:pPr>
              <w:spacing w:after="0"/>
              <w:rPr>
                <w:sz w:val="18"/>
                <w:szCs w:val="18"/>
                <w:color w:val="auto"/>
              </w:rPr>
            </w:pP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366,075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2,236</w:t>
            </w:r>
          </w:p>
        </w:tc>
        <w:tc>
          <w:tcPr>
            <w:tcW w:w="2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2,206</w:t>
            </w:r>
          </w:p>
        </w:tc>
        <w:tc>
          <w:tcPr>
            <w:tcW w:w="2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8,678</w:t>
            </w:r>
          </w:p>
        </w:tc>
        <w:tc>
          <w:tcPr>
            <w:tcW w:w="2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8,228</w:t>
            </w:r>
          </w:p>
        </w:tc>
        <w:tc>
          <w:tcPr>
            <w:tcW w:w="0" w:type="dxa"/>
            <w:vAlign w:val="bottom"/>
          </w:tcPr>
          <w:p>
            <w:pPr>
              <w:spacing w:after="0"/>
              <w:rPr>
                <w:sz w:val="1"/>
                <w:szCs w:val="1"/>
                <w:color w:val="auto"/>
              </w:rPr>
            </w:pPr>
          </w:p>
        </w:tc>
      </w:tr>
      <w:tr>
        <w:trPr>
          <w:trHeight w:val="263"/>
        </w:trPr>
        <w:tc>
          <w:tcPr>
            <w:tcW w:w="4740" w:type="dxa"/>
            <w:vAlign w:val="bottom"/>
            <w:tcBorders>
              <w:bottom w:val="single" w:sz="8" w:color="EEEEEE"/>
            </w:tcBorders>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w:t>
            </w:r>
          </w:p>
        </w:tc>
        <w:tc>
          <w:tcPr>
            <w:tcW w:w="12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5,145</w:t>
            </w:r>
          </w:p>
        </w:tc>
        <w:tc>
          <w:tcPr>
            <w:tcW w:w="10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19,325</w:t>
            </w:r>
          </w:p>
        </w:tc>
        <w:tc>
          <w:tcPr>
            <w:tcW w:w="10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19,203</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7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EEEEEE"/>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0.23</w:t>
            </w:r>
          </w:p>
        </w:tc>
        <w:tc>
          <w:tcPr>
            <w:tcW w:w="700" w:type="dxa"/>
            <w:vAlign w:val="bottom"/>
            <w:gridSpan w:val="2"/>
            <w:shd w:val="clear" w:color="auto" w:fill="EEEEEE"/>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0.88</w:t>
            </w:r>
          </w:p>
        </w:tc>
        <w:tc>
          <w:tcPr>
            <w:tcW w:w="680" w:type="dxa"/>
            <w:vAlign w:val="bottom"/>
            <w:gridSpan w:val="2"/>
            <w:shd w:val="clear" w:color="auto" w:fill="EEEEEE"/>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16"/>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0.21</w:t>
            </w:r>
          </w:p>
        </w:tc>
        <w:tc>
          <w:tcPr>
            <w:tcW w:w="7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0.21</w:t>
            </w:r>
          </w:p>
        </w:tc>
        <w:tc>
          <w:tcPr>
            <w:tcW w:w="22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0.80</w:t>
            </w:r>
          </w:p>
        </w:tc>
        <w:tc>
          <w:tcPr>
            <w:tcW w:w="68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0.79</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Number of shares used in computing earnings per share:</w:t>
            </w: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21,998</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21,412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21,889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21,292</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23,764</w:t>
            </w:r>
          </w:p>
        </w:tc>
        <w:tc>
          <w:tcPr>
            <w:tcW w:w="2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24,274</w:t>
            </w: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24,081</w:t>
            </w:r>
          </w:p>
        </w:tc>
        <w:tc>
          <w:tcPr>
            <w:tcW w:w="2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24,325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Consumer Portfolio Services,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December 31,</w:t>
            </w:r>
          </w:p>
        </w:tc>
        <w:tc>
          <w:tcPr>
            <w:tcW w:w="22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4320" w:type="dxa"/>
            <w:vAlign w:val="bottom"/>
            <w:tcBorders>
              <w:bottom w:val="single" w:sz="8" w:color="EEEEEE"/>
            </w:tcBorders>
          </w:tcPr>
          <w:p>
            <w:pPr>
              <w:spacing w:after="0"/>
              <w:rPr>
                <w:sz w:val="20"/>
                <w:szCs w:val="20"/>
                <w:color w:val="auto"/>
              </w:rPr>
            </w:pPr>
          </w:p>
        </w:tc>
        <w:tc>
          <w:tcPr>
            <w:tcW w:w="3340" w:type="dxa"/>
            <w:vAlign w:val="bottom"/>
            <w:tcBorders>
              <w:bottom w:val="single" w:sz="8" w:color="EEEEE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EEEEE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6,322</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11,713</w:t>
            </w:r>
          </w:p>
        </w:tc>
        <w:tc>
          <w:tcPr>
            <w:tcW w:w="0" w:type="dxa"/>
            <w:vAlign w:val="bottom"/>
          </w:tcPr>
          <w:p>
            <w:pPr>
              <w:spacing w:after="0"/>
              <w:rPr>
                <w:sz w:val="1"/>
                <w:szCs w:val="1"/>
                <w:color w:val="auto"/>
              </w:rPr>
            </w:pPr>
          </w:p>
        </w:tc>
      </w:tr>
      <w:tr>
        <w:trPr>
          <w:trHeight w:val="216"/>
        </w:trPr>
        <w:tc>
          <w:tcPr>
            <w:tcW w:w="4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Restricted cash and equivalents</w:t>
            </w:r>
          </w:p>
        </w:tc>
        <w:tc>
          <w:tcPr>
            <w:tcW w:w="3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165,885</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125,684</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Finance receivables measured at fair value</w:t>
            </w: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3,655,855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3,313,767</w:t>
            </w:r>
          </w:p>
        </w:tc>
        <w:tc>
          <w:tcPr>
            <w:tcW w:w="0" w:type="dxa"/>
            <w:vAlign w:val="bottom"/>
          </w:tcPr>
          <w:p>
            <w:pPr>
              <w:spacing w:after="0"/>
              <w:rPr>
                <w:sz w:val="1"/>
                <w:szCs w:val="1"/>
                <w:color w:val="auto"/>
              </w:rPr>
            </w:pPr>
          </w:p>
        </w:tc>
      </w:tr>
      <w:tr>
        <w:trPr>
          <w:trHeight w:val="216"/>
        </w:trPr>
        <w:tc>
          <w:tcPr>
            <w:tcW w:w="4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Finance receivables, net</w:t>
            </w:r>
          </w:p>
        </w:tc>
        <w:tc>
          <w:tcPr>
            <w:tcW w:w="3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4,987</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29,611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37,717</w:t>
            </w:r>
          </w:p>
        </w:tc>
        <w:tc>
          <w:tcPr>
            <w:tcW w:w="0" w:type="dxa"/>
            <w:vAlign w:val="bottom"/>
          </w:tcPr>
          <w:p>
            <w:pPr>
              <w:spacing w:after="0"/>
              <w:rPr>
                <w:sz w:val="1"/>
                <w:szCs w:val="1"/>
                <w:color w:val="auto"/>
              </w:rPr>
            </w:pPr>
          </w:p>
        </w:tc>
      </w:tr>
      <w:tr>
        <w:trPr>
          <w:trHeight w:val="223"/>
        </w:trPr>
        <w:tc>
          <w:tcPr>
            <w:tcW w:w="4320" w:type="dxa"/>
            <w:vAlign w:val="bottom"/>
            <w:tcBorders>
              <w:top w:val="single" w:sz="8" w:color="EEEEEE"/>
              <w:bottom w:val="single" w:sz="8" w:color="EEEEEE"/>
            </w:tcBorders>
            <w:shd w:val="clear" w:color="auto" w:fill="EEEEEE"/>
          </w:tcPr>
          <w:p>
            <w:pPr>
              <w:spacing w:after="0"/>
              <w:rPr>
                <w:sz w:val="19"/>
                <w:szCs w:val="19"/>
                <w:color w:val="auto"/>
              </w:rPr>
            </w:pPr>
          </w:p>
        </w:tc>
        <w:tc>
          <w:tcPr>
            <w:tcW w:w="33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3,858,193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3,493,868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65,244</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70,151</w:t>
            </w:r>
          </w:p>
        </w:tc>
        <w:tc>
          <w:tcPr>
            <w:tcW w:w="0" w:type="dxa"/>
            <w:vAlign w:val="bottom"/>
          </w:tcPr>
          <w:p>
            <w:pPr>
              <w:spacing w:after="0"/>
              <w:rPr>
                <w:sz w:val="1"/>
                <w:szCs w:val="1"/>
                <w:color w:val="auto"/>
              </w:rPr>
            </w:pPr>
          </w:p>
        </w:tc>
      </w:tr>
      <w:tr>
        <w:trPr>
          <w:trHeight w:val="216"/>
        </w:trPr>
        <w:tc>
          <w:tcPr>
            <w:tcW w:w="4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lines of credit</w:t>
            </w:r>
          </w:p>
        </w:tc>
        <w:tc>
          <w:tcPr>
            <w:tcW w:w="3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324,871</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410,898</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Residual interest financing</w:t>
            </w: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142,982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99,176</w:t>
            </w:r>
          </w:p>
        </w:tc>
        <w:tc>
          <w:tcPr>
            <w:tcW w:w="0" w:type="dxa"/>
            <w:vAlign w:val="bottom"/>
          </w:tcPr>
          <w:p>
            <w:pPr>
              <w:spacing w:after="0"/>
              <w:rPr>
                <w:sz w:val="1"/>
                <w:szCs w:val="1"/>
                <w:color w:val="auto"/>
              </w:rPr>
            </w:pPr>
          </w:p>
        </w:tc>
      </w:tr>
      <w:tr>
        <w:trPr>
          <w:trHeight w:val="216"/>
        </w:trPr>
        <w:tc>
          <w:tcPr>
            <w:tcW w:w="4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Securitization trust debt</w:t>
            </w:r>
          </w:p>
        </w:tc>
        <w:tc>
          <w:tcPr>
            <w:tcW w:w="3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2,986,574</w:t>
            </w: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2,594,384</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Subordinated renewable notes</w:t>
            </w:r>
          </w:p>
        </w:tc>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28,986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26,489</w:t>
            </w:r>
          </w:p>
        </w:tc>
        <w:tc>
          <w:tcPr>
            <w:tcW w:w="0" w:type="dxa"/>
            <w:vAlign w:val="bottom"/>
          </w:tcPr>
          <w:p>
            <w:pPr>
              <w:spacing w:after="0"/>
              <w:rPr>
                <w:sz w:val="1"/>
                <w:szCs w:val="1"/>
                <w:color w:val="auto"/>
              </w:rPr>
            </w:pPr>
          </w:p>
        </w:tc>
      </w:tr>
      <w:tr>
        <w:trPr>
          <w:trHeight w:val="210"/>
        </w:trPr>
        <w:tc>
          <w:tcPr>
            <w:tcW w:w="4320" w:type="dxa"/>
            <w:vAlign w:val="bottom"/>
            <w:tcBorders>
              <w:top w:val="single" w:sz="8" w:color="EEEEEE"/>
            </w:tcBorders>
            <w:shd w:val="clear" w:color="auto" w:fill="EEEEEE"/>
          </w:tcPr>
          <w:p>
            <w:pPr>
              <w:spacing w:after="0"/>
              <w:rPr>
                <w:sz w:val="18"/>
                <w:szCs w:val="18"/>
                <w:color w:val="auto"/>
              </w:rPr>
            </w:pPr>
          </w:p>
        </w:tc>
        <w:tc>
          <w:tcPr>
            <w:tcW w:w="33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spacing w:after="0"/>
              <w:rPr>
                <w:sz w:val="18"/>
                <w:szCs w:val="18"/>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3,548,657</w:t>
            </w:r>
          </w:p>
        </w:tc>
        <w:tc>
          <w:tcPr>
            <w:tcW w:w="10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spacing w:after="0"/>
              <w:rPr>
                <w:sz w:val="18"/>
                <w:szCs w:val="18"/>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3,201,098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3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309,536</w:t>
            </w: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292,770</w:t>
            </w:r>
          </w:p>
        </w:tc>
        <w:tc>
          <w:tcPr>
            <w:tcW w:w="0" w:type="dxa"/>
            <w:vAlign w:val="bottom"/>
          </w:tcPr>
          <w:p>
            <w:pPr>
              <w:spacing w:after="0"/>
              <w:rPr>
                <w:sz w:val="1"/>
                <w:szCs w:val="1"/>
                <w:color w:val="auto"/>
              </w:rPr>
            </w:pPr>
          </w:p>
        </w:tc>
      </w:tr>
      <w:tr>
        <w:trPr>
          <w:trHeight w:val="223"/>
        </w:trPr>
        <w:tc>
          <w:tcPr>
            <w:tcW w:w="43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3,858,193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3,493,868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334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43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Operating and Performance Data ($ in millions)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8"/>
          </w:tcPr>
          <w:p>
            <w:pPr>
              <w:jc w:val="center"/>
              <w:ind w:right="120"/>
              <w:spacing w:after="0"/>
              <w:rPr>
                <w:sz w:val="20"/>
                <w:szCs w:val="20"/>
                <w:color w:val="auto"/>
              </w:rPr>
            </w:pPr>
            <w:r>
              <w:rPr>
                <w:rFonts w:ascii="Times New Roman" w:cs="Times New Roman" w:eastAsia="Times New Roman" w:hAnsi="Times New Roman"/>
                <w:sz w:val="18"/>
                <w:szCs w:val="18"/>
                <w:color w:val="auto"/>
                <w:w w:val="99"/>
              </w:rPr>
              <w:t>At and for the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w w:val="99"/>
              </w:rPr>
              <w:t>At and for the</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gridSpan w:val="8"/>
          </w:tcPr>
          <w:p>
            <w:pPr>
              <w:jc w:val="center"/>
              <w:ind w:right="10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40" w:type="dxa"/>
            <w:vAlign w:val="bottom"/>
            <w:gridSpan w:val="11"/>
          </w:tcPr>
          <w:p>
            <w:pPr>
              <w:ind w:left="300"/>
              <w:spacing w:after="0"/>
              <w:rPr>
                <w:sz w:val="20"/>
                <w:szCs w:val="20"/>
                <w:color w:val="auto"/>
              </w:rPr>
            </w:pPr>
            <w:r>
              <w:rPr>
                <w:rFonts w:ascii="Times New Roman" w:cs="Times New Roman" w:eastAsia="Times New Roman" w:hAnsi="Times New Roman"/>
                <w:sz w:val="18"/>
                <w:szCs w:val="18"/>
                <w:color w:val="auto"/>
              </w:rPr>
              <w:t>Twelve months ended</w:t>
            </w:r>
          </w:p>
        </w:tc>
      </w:tr>
      <w:tr>
        <w:trPr>
          <w:trHeight w:val="234"/>
        </w:trPr>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8"/>
          </w:tcPr>
          <w:p>
            <w:pPr>
              <w:jc w:val="center"/>
              <w:ind w:right="100"/>
              <w:spacing w:after="0"/>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8"/>
                <w:szCs w:val="18"/>
                <w:color w:val="auto"/>
                <w:w w:val="98"/>
              </w:rPr>
              <w:t>December 31,</w:t>
            </w: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23"/>
        </w:trPr>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ind w:right="358"/>
              <w:spacing w:after="0"/>
              <w:rPr>
                <w:sz w:val="20"/>
                <w:szCs w:val="20"/>
                <w:color w:val="auto"/>
              </w:rPr>
            </w:pPr>
            <w:r>
              <w:rPr>
                <w:rFonts w:ascii="Times New Roman" w:cs="Times New Roman" w:eastAsia="Times New Roman" w:hAnsi="Times New Roman"/>
                <w:sz w:val="18"/>
                <w:szCs w:val="18"/>
                <w:color w:val="auto"/>
              </w:rPr>
              <w:t>2025</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auto"/>
            </w:tcBorders>
          </w:tcPr>
          <w:p>
            <w:pPr>
              <w:spacing w:after="0"/>
              <w:rPr>
                <w:sz w:val="19"/>
                <w:szCs w:val="19"/>
                <w:color w:val="auto"/>
              </w:rPr>
            </w:pPr>
          </w:p>
        </w:tc>
      </w:tr>
      <w:tr>
        <w:trPr>
          <w:trHeight w:val="209"/>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Contracts purchased</w:t>
            </w:r>
          </w:p>
        </w:tc>
        <w:tc>
          <w:tcPr>
            <w:tcW w:w="1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363.03</w:t>
            </w:r>
          </w:p>
        </w:tc>
        <w:tc>
          <w:tcPr>
            <w:tcW w:w="60" w:type="dxa"/>
            <w:vAlign w:val="bottom"/>
            <w:shd w:val="clear" w:color="auto" w:fill="EEEEEE"/>
          </w:tcPr>
          <w:p>
            <w:pPr>
              <w:spacing w:after="0"/>
              <w:rPr>
                <w:sz w:val="18"/>
                <w:szCs w:val="18"/>
                <w:color w:val="auto"/>
              </w:rPr>
            </w:pPr>
          </w:p>
        </w:tc>
        <w:tc>
          <w:tcPr>
            <w:tcW w:w="44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2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457.81</w:t>
            </w:r>
          </w:p>
        </w:tc>
        <w:tc>
          <w:tcPr>
            <w:tcW w:w="660" w:type="dxa"/>
            <w:vAlign w:val="bottom"/>
            <w:gridSpan w:val="4"/>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1,638.33</w:t>
            </w: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1,681.94</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Contracts securitized</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392.46</w:t>
            </w:r>
          </w:p>
        </w:tc>
        <w:tc>
          <w:tcPr>
            <w:tcW w:w="60" w:type="dxa"/>
            <w:vAlign w:val="bottom"/>
          </w:tcPr>
          <w:p>
            <w:pPr>
              <w:spacing w:after="0"/>
              <w:rPr>
                <w:sz w:val="18"/>
                <w:szCs w:val="18"/>
                <w:color w:val="auto"/>
              </w:rPr>
            </w:pP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436.00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1,727.78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1,533.85</w:t>
            </w:r>
          </w:p>
        </w:tc>
      </w:tr>
      <w:tr>
        <w:trPr>
          <w:trHeight w:val="216"/>
        </w:trPr>
        <w:tc>
          <w:tcPr>
            <w:tcW w:w="3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40" w:type="dxa"/>
            <w:vAlign w:val="bottom"/>
            <w:gridSpan w:val="2"/>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0" w:type="dxa"/>
            <w:vAlign w:val="bottom"/>
            <w:gridSpan w:val="2"/>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 portfolio balance (1)</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3,778.65</w:t>
            </w:r>
          </w:p>
        </w:tc>
        <w:tc>
          <w:tcPr>
            <w:tcW w:w="60" w:type="dxa"/>
            <w:vAlign w:val="bottom"/>
          </w:tcPr>
          <w:p>
            <w:pPr>
              <w:spacing w:after="0"/>
              <w:rPr>
                <w:sz w:val="18"/>
                <w:szCs w:val="18"/>
                <w:color w:val="auto"/>
              </w:rPr>
            </w:pPr>
          </w:p>
        </w:tc>
        <w:tc>
          <w:tcPr>
            <w:tcW w:w="4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3,490.96</w:t>
            </w:r>
          </w:p>
        </w:tc>
        <w:tc>
          <w:tcPr>
            <w:tcW w:w="6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3,778.65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3,490.96</w:t>
            </w: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portfolio balance (1)</w:t>
            </w:r>
          </w:p>
        </w:tc>
        <w:tc>
          <w:tcPr>
            <w:tcW w:w="1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5"/>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3,774.26</w:t>
            </w:r>
          </w:p>
        </w:tc>
        <w:tc>
          <w:tcPr>
            <w:tcW w:w="60" w:type="dxa"/>
            <w:vAlign w:val="bottom"/>
            <w:shd w:val="clear" w:color="auto" w:fill="EEEEEE"/>
          </w:tcPr>
          <w:p>
            <w:pPr>
              <w:spacing w:after="0"/>
              <w:rPr>
                <w:sz w:val="18"/>
                <w:szCs w:val="18"/>
                <w:color w:val="auto"/>
              </w:rPr>
            </w:pPr>
          </w:p>
        </w:tc>
        <w:tc>
          <w:tcPr>
            <w:tcW w:w="44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6"/>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3,445.52</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3,693.80</w:t>
            </w: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3,209.99</w:t>
            </w:r>
          </w:p>
        </w:tc>
      </w:tr>
      <w:tr>
        <w:trPr>
          <w:trHeight w:val="216"/>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Delinquencies (1)</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 Days</w:t>
            </w: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w w:val="97"/>
              </w:rPr>
              <w:t>11.83%</w:t>
            </w: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2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12.11%</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29"/>
        </w:trPr>
        <w:tc>
          <w:tcPr>
            <w:tcW w:w="460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color w:val="auto"/>
              </w:rPr>
              <w:t>Repossession Inventory</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2.74%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4600" w:type="dxa"/>
            <w:vAlign w:val="bottom"/>
            <w:tcBorders>
              <w:top w:val="single" w:sz="8" w:color="EEEEEE"/>
            </w:tcBorders>
            <w:gridSpan w:val="5"/>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Total Delinquencies and Repo. Inventory</w:t>
            </w:r>
          </w:p>
        </w:tc>
        <w:tc>
          <w:tcPr>
            <w:tcW w:w="14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7"/>
              </w:rPr>
              <w:t>14.77%</w:t>
            </w:r>
          </w:p>
        </w:tc>
        <w:tc>
          <w:tcPr>
            <w:tcW w:w="6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40" w:type="dxa"/>
            <w:vAlign w:val="bottom"/>
            <w:tcBorders>
              <w:top w:val="single" w:sz="8" w:color="auto"/>
            </w:tcBorders>
            <w:shd w:val="clear" w:color="auto" w:fill="EEEEEE"/>
          </w:tcPr>
          <w:p>
            <w:pPr>
              <w:spacing w:after="0"/>
              <w:rPr>
                <w:sz w:val="18"/>
                <w:szCs w:val="18"/>
                <w:color w:val="auto"/>
              </w:rPr>
            </w:pPr>
          </w:p>
        </w:tc>
        <w:tc>
          <w:tcPr>
            <w:tcW w:w="600" w:type="dxa"/>
            <w:vAlign w:val="bottom"/>
            <w:tcBorders>
              <w:top w:val="single" w:sz="8" w:color="auto"/>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tcBorders>
            <w:shd w:val="clear" w:color="auto" w:fill="EEEEEE"/>
          </w:tcPr>
          <w:p>
            <w:pPr>
              <w:spacing w:after="0"/>
              <w:rPr>
                <w:sz w:val="18"/>
                <w:szCs w:val="18"/>
                <w:color w:val="auto"/>
              </w:rPr>
            </w:pPr>
          </w:p>
        </w:tc>
        <w:tc>
          <w:tcPr>
            <w:tcW w:w="60" w:type="dxa"/>
            <w:vAlign w:val="bottom"/>
            <w:tcBorders>
              <w:top w:val="single" w:sz="8" w:color="auto"/>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6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080" w:type="dxa"/>
            <w:vAlign w:val="bottom"/>
            <w:gridSpan w:val="3"/>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gridSpan w:val="5"/>
            <w:shd w:val="clear" w:color="auto" w:fill="EEEEEE"/>
          </w:tcPr>
          <w:p>
            <w:pPr>
              <w:spacing w:after="0"/>
              <w:rPr>
                <w:sz w:val="20"/>
                <w:szCs w:val="20"/>
                <w:color w:val="auto"/>
              </w:rPr>
            </w:pPr>
            <w:r>
              <w:rPr>
                <w:rFonts w:ascii="Times New Roman" w:cs="Times New Roman" w:eastAsia="Times New Roman" w:hAnsi="Times New Roman"/>
                <w:sz w:val="18"/>
                <w:szCs w:val="18"/>
                <w:color w:val="auto"/>
              </w:rPr>
              <w:t>Annualized Net Charge-offs as % of Average Portfolio (1)</w:t>
            </w: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8.04%</w:t>
            </w: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2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7.62%</w:t>
            </w:r>
          </w:p>
        </w:tc>
      </w:tr>
      <w:tr>
        <w:trPr>
          <w:trHeight w:val="216"/>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Recovery rates (1), (2)</w:t>
            </w:r>
          </w:p>
        </w:tc>
        <w:tc>
          <w:tcPr>
            <w:tcW w:w="18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28.5%</w:t>
            </w:r>
          </w:p>
        </w:tc>
        <w:tc>
          <w:tcPr>
            <w:tcW w:w="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62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r>
      <w:tr>
        <w:trPr>
          <w:trHeight w:val="342"/>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6"/>
          </w:tcPr>
          <w:p>
            <w:pPr>
              <w:jc w:val="center"/>
              <w:ind w:right="660"/>
              <w:spacing w:after="0"/>
              <w:rPr>
                <w:sz w:val="20"/>
                <w:szCs w:val="20"/>
                <w:color w:val="auto"/>
              </w:rPr>
            </w:pPr>
            <w:r>
              <w:rPr>
                <w:rFonts w:ascii="Times New Roman" w:cs="Times New Roman" w:eastAsia="Times New Roman" w:hAnsi="Times New Roman"/>
                <w:sz w:val="14"/>
                <w:szCs w:val="14"/>
                <w:color w:val="auto"/>
                <w:w w:val="99"/>
              </w:rPr>
              <w:t>For the</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gridSpan w:val="4"/>
          </w:tcPr>
          <w:p>
            <w:pPr>
              <w:ind w:left="20"/>
              <w:spacing w:after="0"/>
              <w:rPr>
                <w:sz w:val="20"/>
                <w:szCs w:val="20"/>
                <w:color w:val="auto"/>
              </w:rPr>
            </w:pPr>
            <w:r>
              <w:rPr>
                <w:rFonts w:ascii="Times New Roman" w:cs="Times New Roman" w:eastAsia="Times New Roman" w:hAnsi="Times New Roman"/>
                <w:sz w:val="14"/>
                <w:szCs w:val="14"/>
                <w:color w:val="auto"/>
              </w:rPr>
              <w:t>For the</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3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7"/>
          </w:tcPr>
          <w:p>
            <w:pPr>
              <w:jc w:val="center"/>
              <w:ind w:right="280"/>
              <w:spacing w:after="0"/>
              <w:rPr>
                <w:sz w:val="20"/>
                <w:szCs w:val="20"/>
                <w:color w:val="auto"/>
              </w:rPr>
            </w:pPr>
            <w:r>
              <w:rPr>
                <w:rFonts w:ascii="Times New Roman" w:cs="Times New Roman" w:eastAsia="Times New Roman" w:hAnsi="Times New Roman"/>
                <w:sz w:val="14"/>
                <w:szCs w:val="14"/>
                <w:color w:val="auto"/>
              </w:rPr>
              <w:t>Three months ended</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8"/>
          </w:tcPr>
          <w:p>
            <w:pPr>
              <w:ind w:left="140"/>
              <w:spacing w:after="0"/>
              <w:rPr>
                <w:sz w:val="20"/>
                <w:szCs w:val="20"/>
                <w:color w:val="auto"/>
              </w:rPr>
            </w:pPr>
            <w:r>
              <w:rPr>
                <w:rFonts w:ascii="Times New Roman" w:cs="Times New Roman" w:eastAsia="Times New Roman" w:hAnsi="Times New Roman"/>
                <w:sz w:val="14"/>
                <w:szCs w:val="14"/>
                <w:color w:val="auto"/>
              </w:rPr>
              <w:t>Twelve months ended</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7"/>
          </w:tcPr>
          <w:p>
            <w:pPr>
              <w:jc w:val="center"/>
              <w:ind w:right="280"/>
              <w:spacing w:after="0"/>
              <w:rPr>
                <w:sz w:val="20"/>
                <w:szCs w:val="20"/>
                <w:color w:val="auto"/>
              </w:rPr>
            </w:pPr>
            <w:r>
              <w:rPr>
                <w:rFonts w:ascii="Times New Roman" w:cs="Times New Roman" w:eastAsia="Times New Roman" w:hAnsi="Times New Roman"/>
                <w:sz w:val="14"/>
                <w:szCs w:val="14"/>
                <w:color w:val="auto"/>
              </w:rPr>
              <w:t>December 31,</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8"/>
          </w:tcPr>
          <w:p>
            <w:pPr>
              <w:jc w:val="right"/>
              <w:ind w:right="420"/>
              <w:spacing w:after="0"/>
              <w:rPr>
                <w:sz w:val="20"/>
                <w:szCs w:val="20"/>
                <w:color w:val="auto"/>
              </w:rPr>
            </w:pPr>
            <w:r>
              <w:rPr>
                <w:rFonts w:ascii="Times New Roman" w:cs="Times New Roman" w:eastAsia="Times New Roman" w:hAnsi="Times New Roman"/>
                <w:sz w:val="14"/>
                <w:szCs w:val="14"/>
                <w:color w:val="auto"/>
              </w:rPr>
              <w:t>December 31,</w:t>
            </w: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r>
        <w:trPr>
          <w:trHeight w:val="156"/>
        </w:trPr>
        <w:tc>
          <w:tcPr>
            <w:tcW w:w="33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2025</w:t>
            </w:r>
          </w:p>
        </w:tc>
        <w:tc>
          <w:tcPr>
            <w:tcW w:w="1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3"/>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w w:val="99"/>
              </w:rPr>
              <w:t>2024</w:t>
            </w:r>
          </w:p>
        </w:tc>
        <w:tc>
          <w:tcPr>
            <w:tcW w:w="5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5"/>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2025</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568"/>
              <w:spacing w:after="0" w:line="155" w:lineRule="exact"/>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Borders>
              <w:bottom w:val="single" w:sz="8" w:color="auto"/>
            </w:tcBorders>
          </w:tcPr>
          <w:p>
            <w:pPr>
              <w:spacing w:after="0"/>
              <w:rPr>
                <w:sz w:val="13"/>
                <w:szCs w:val="13"/>
                <w:color w:val="auto"/>
              </w:rPr>
            </w:pPr>
          </w:p>
        </w:tc>
      </w:tr>
      <w:tr>
        <w:trPr>
          <w:trHeight w:val="223"/>
        </w:trPr>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ind w:right="85"/>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ind w:right="44"/>
              <w:spacing w:after="0"/>
              <w:rPr>
                <w:sz w:val="20"/>
                <w:szCs w:val="20"/>
                <w:color w:val="auto"/>
              </w:rPr>
            </w:pPr>
            <w:r>
              <w:rPr>
                <w:rFonts w:ascii="Times New Roman" w:cs="Times New Roman" w:eastAsia="Times New Roman" w:hAnsi="Times New Roman"/>
                <w:sz w:val="14"/>
                <w:szCs w:val="14"/>
                <w:color w:val="auto"/>
              </w:rPr>
              <w:t>%(4)</w:t>
            </w:r>
          </w:p>
        </w:tc>
        <w:tc>
          <w:tcPr>
            <w:tcW w:w="40" w:type="dxa"/>
            <w:vAlign w:val="bottom"/>
          </w:tcPr>
          <w:p>
            <w:pPr>
              <w:spacing w:after="0"/>
              <w:rPr>
                <w:sz w:val="19"/>
                <w:szCs w:val="19"/>
                <w:color w:val="auto"/>
              </w:rPr>
            </w:pPr>
          </w:p>
        </w:tc>
        <w:tc>
          <w:tcPr>
            <w:tcW w:w="92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$(3)</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(3)</w:t>
            </w:r>
          </w:p>
        </w:tc>
        <w:tc>
          <w:tcPr>
            <w:tcW w:w="60" w:type="dxa"/>
            <w:vAlign w:val="bottom"/>
          </w:tcPr>
          <w:p>
            <w:pPr>
              <w:spacing w:after="0"/>
              <w:rPr>
                <w:sz w:val="19"/>
                <w:szCs w:val="19"/>
                <w:color w:val="auto"/>
              </w:rPr>
            </w:pPr>
          </w:p>
        </w:tc>
        <w:tc>
          <w:tcPr>
            <w:tcW w:w="9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9"/>
                <w:szCs w:val="19"/>
                <w:color w:val="auto"/>
              </w:rPr>
            </w:pPr>
          </w:p>
        </w:tc>
      </w:tr>
      <w:tr>
        <w:trPr>
          <w:trHeight w:val="142"/>
        </w:trPr>
        <w:tc>
          <w:tcPr>
            <w:tcW w:w="3380" w:type="dxa"/>
            <w:vAlign w:val="bottom"/>
            <w:tcBorders>
              <w:top w:val="single" w:sz="8" w:color="EEEEEE"/>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tcBorders>
              <w:top w:val="single" w:sz="8" w:color="auto"/>
            </w:tcBorders>
            <w:shd w:val="clear" w:color="auto" w:fill="EEEEEE"/>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108.24</w:t>
            </w:r>
          </w:p>
        </w:tc>
        <w:tc>
          <w:tcPr>
            <w:tcW w:w="34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rPr>
                <w:sz w:val="12"/>
                <w:szCs w:val="12"/>
                <w:color w:val="auto"/>
              </w:rPr>
            </w:pPr>
          </w:p>
        </w:tc>
        <w:tc>
          <w:tcPr>
            <w:tcW w:w="520" w:type="dxa"/>
            <w:vAlign w:val="bottom"/>
            <w:tcBorders>
              <w:top w:val="single" w:sz="8" w:color="auto"/>
            </w:tcBorders>
            <w:gridSpan w:val="2"/>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11.5%</w:t>
            </w:r>
          </w:p>
        </w:tc>
        <w:tc>
          <w:tcPr>
            <w:tcW w:w="12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gridSpan w:val="2"/>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98.15</w:t>
            </w:r>
          </w:p>
        </w:tc>
        <w:tc>
          <w:tcPr>
            <w:tcW w:w="6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6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spacing w:after="0"/>
              <w:rPr>
                <w:sz w:val="12"/>
                <w:szCs w:val="12"/>
                <w:color w:val="auto"/>
              </w:rPr>
            </w:pPr>
          </w:p>
        </w:tc>
        <w:tc>
          <w:tcPr>
            <w:tcW w:w="52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11.4%</w:t>
            </w:r>
          </w:p>
        </w:tc>
        <w:tc>
          <w:tcPr>
            <w:tcW w:w="4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660" w:type="dxa"/>
            <w:vAlign w:val="bottom"/>
            <w:tcBorders>
              <w:top w:val="single" w:sz="8" w:color="auto"/>
            </w:tcBorders>
            <w:gridSpan w:val="5"/>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   422.70</w:t>
            </w:r>
          </w:p>
        </w:tc>
        <w:tc>
          <w:tcPr>
            <w:tcW w:w="3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spacing w:after="0"/>
              <w:rPr>
                <w:sz w:val="12"/>
                <w:szCs w:val="12"/>
                <w:color w:val="auto"/>
              </w:rPr>
            </w:pPr>
          </w:p>
        </w:tc>
        <w:tc>
          <w:tcPr>
            <w:tcW w:w="56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11.4%</w:t>
            </w:r>
          </w:p>
        </w:tc>
        <w:tc>
          <w:tcPr>
            <w:tcW w:w="10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tcBorders>
            <w:shd w:val="clear" w:color="auto" w:fill="EEEEEE"/>
          </w:tcPr>
          <w:p>
            <w:pPr>
              <w:spacing w:after="0"/>
              <w:rPr>
                <w:sz w:val="12"/>
                <w:szCs w:val="12"/>
                <w:color w:val="auto"/>
              </w:rPr>
            </w:pPr>
          </w:p>
        </w:tc>
        <w:tc>
          <w:tcPr>
            <w:tcW w:w="500" w:type="dxa"/>
            <w:vAlign w:val="bottom"/>
            <w:tcBorders>
              <w:top w:val="single" w:sz="8" w:color="auto"/>
            </w:tcBorders>
            <w:gridSpan w:val="2"/>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363.96</w:t>
            </w:r>
          </w:p>
        </w:tc>
        <w:tc>
          <w:tcPr>
            <w:tcW w:w="60" w:type="dxa"/>
            <w:vAlign w:val="bottom"/>
            <w:tcBorders>
              <w:top w:val="single" w:sz="8" w:color="EEEEEE"/>
            </w:tcBorders>
            <w:shd w:val="clear" w:color="auto" w:fill="EEEEEE"/>
          </w:tcPr>
          <w:p>
            <w:pPr>
              <w:spacing w:after="0"/>
              <w:rPr>
                <w:sz w:val="12"/>
                <w:szCs w:val="12"/>
                <w:color w:val="auto"/>
              </w:rPr>
            </w:pPr>
          </w:p>
        </w:tc>
        <w:tc>
          <w:tcPr>
            <w:tcW w:w="280" w:type="dxa"/>
            <w:vAlign w:val="bottom"/>
            <w:tcBorders>
              <w:top w:val="single" w:sz="8" w:color="EEEEEE"/>
            </w:tcBorders>
            <w:shd w:val="clear" w:color="auto" w:fill="EEEEEE"/>
          </w:tcPr>
          <w:p>
            <w:pPr>
              <w:spacing w:after="0"/>
              <w:rPr>
                <w:sz w:val="12"/>
                <w:szCs w:val="12"/>
                <w:color w:val="auto"/>
              </w:rPr>
            </w:pPr>
          </w:p>
        </w:tc>
        <w:tc>
          <w:tcPr>
            <w:tcW w:w="66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11.3%</w:t>
            </w:r>
          </w:p>
        </w:tc>
        <w:tc>
          <w:tcPr>
            <w:tcW w:w="100" w:type="dxa"/>
            <w:vAlign w:val="bottom"/>
            <w:tcBorders>
              <w:top w:val="single" w:sz="8" w:color="EEEEEE"/>
            </w:tcBorders>
            <w:shd w:val="clear" w:color="auto" w:fill="EEEEEE"/>
          </w:tcPr>
          <w:p>
            <w:pPr>
              <w:spacing w:after="0"/>
              <w:rPr>
                <w:sz w:val="12"/>
                <w:szCs w:val="12"/>
                <w:color w:val="auto"/>
              </w:rPr>
            </w:pPr>
          </w:p>
        </w:tc>
      </w:tr>
      <w:tr>
        <w:trPr>
          <w:trHeight w:val="148"/>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Mark to finance receivables measured at fair value</w:t>
            </w:r>
          </w:p>
        </w:tc>
        <w:tc>
          <w:tcPr>
            <w:tcW w:w="180" w:type="dxa"/>
            <w:vAlign w:val="bottom"/>
          </w:tcPr>
          <w:p>
            <w:pPr>
              <w:spacing w:after="0"/>
              <w:rPr>
                <w:sz w:val="12"/>
                <w:szCs w:val="12"/>
                <w:color w:val="auto"/>
              </w:rPr>
            </w:pPr>
          </w:p>
        </w:tc>
        <w:tc>
          <w:tcPr>
            <w:tcW w:w="1040" w:type="dxa"/>
            <w:vAlign w:val="bottom"/>
            <w:gridSpan w:val="3"/>
          </w:tcPr>
          <w:p>
            <w:pPr>
              <w:jc w:val="right"/>
              <w:ind w:right="5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4"/>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6.50</w:t>
            </w:r>
          </w:p>
        </w:tc>
        <w:tc>
          <w:tcPr>
            <w:tcW w:w="100" w:type="dxa"/>
            <w:vAlign w:val="bottom"/>
          </w:tcPr>
          <w:p>
            <w:pPr>
              <w:spacing w:after="0"/>
              <w:rPr>
                <w:sz w:val="12"/>
                <w:szCs w:val="12"/>
                <w:color w:val="auto"/>
              </w:rPr>
            </w:pPr>
          </w:p>
        </w:tc>
        <w:tc>
          <w:tcPr>
            <w:tcW w:w="660" w:type="dxa"/>
            <w:vAlign w:val="bottom"/>
            <w:gridSpan w:val="2"/>
          </w:tcPr>
          <w:p>
            <w:pPr>
              <w:jc w:val="right"/>
              <w:ind w:right="16"/>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21.00</w:t>
            </w:r>
          </w:p>
        </w:tc>
        <w:tc>
          <w:tcPr>
            <w:tcW w:w="10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0.7%</w:t>
            </w:r>
          </w:p>
        </w:tc>
      </w:tr>
      <w:tr>
        <w:trPr>
          <w:trHeight w:val="149"/>
        </w:trPr>
        <w:tc>
          <w:tcPr>
            <w:tcW w:w="338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80" w:type="dxa"/>
            <w:vAlign w:val="bottom"/>
            <w:shd w:val="clear" w:color="auto" w:fill="EEEEEE"/>
          </w:tcPr>
          <w:p>
            <w:pPr>
              <w:spacing w:after="0"/>
              <w:rPr>
                <w:sz w:val="12"/>
                <w:szCs w:val="12"/>
                <w:color w:val="auto"/>
              </w:rPr>
            </w:pPr>
          </w:p>
        </w:tc>
        <w:tc>
          <w:tcPr>
            <w:tcW w:w="860" w:type="dxa"/>
            <w:vAlign w:val="bottom"/>
            <w:gridSpan w:val="2"/>
            <w:shd w:val="clear" w:color="auto" w:fill="EEEEEE"/>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180" w:type="dxa"/>
            <w:vAlign w:val="bottom"/>
            <w:shd w:val="clear" w:color="auto" w:fill="EEEEEE"/>
          </w:tcPr>
          <w:p>
            <w:pPr>
              <w:spacing w:after="0"/>
              <w:rPr>
                <w:sz w:val="12"/>
                <w:szCs w:val="12"/>
                <w:color w:val="auto"/>
              </w:rPr>
            </w:pPr>
          </w:p>
        </w:tc>
        <w:tc>
          <w:tcPr>
            <w:tcW w:w="520" w:type="dxa"/>
            <w:vAlign w:val="bottom"/>
            <w:gridSpan w:val="2"/>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2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80" w:type="dxa"/>
            <w:vAlign w:val="bottom"/>
            <w:gridSpan w:val="3"/>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2.15</w:t>
            </w:r>
          </w:p>
        </w:tc>
        <w:tc>
          <w:tcPr>
            <w:tcW w:w="22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560" w:type="dxa"/>
            <w:vAlign w:val="bottom"/>
            <w:gridSpan w:val="2"/>
            <w:shd w:val="clear" w:color="auto" w:fill="EEEEEE"/>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660" w:type="dxa"/>
            <w:vAlign w:val="bottom"/>
            <w:gridSpan w:val="4"/>
            <w:shd w:val="clear" w:color="auto" w:fill="EEEEEE"/>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5.27</w:t>
            </w:r>
          </w:p>
        </w:tc>
        <w:tc>
          <w:tcPr>
            <w:tcW w:w="100" w:type="dxa"/>
            <w:vAlign w:val="bottom"/>
            <w:shd w:val="clear" w:color="auto" w:fill="EEEEEE"/>
          </w:tcPr>
          <w:p>
            <w:pPr>
              <w:spacing w:after="0"/>
              <w:rPr>
                <w:sz w:val="12"/>
                <w:szCs w:val="12"/>
                <w:color w:val="auto"/>
              </w:rPr>
            </w:pPr>
          </w:p>
        </w:tc>
        <w:tc>
          <w:tcPr>
            <w:tcW w:w="660" w:type="dxa"/>
            <w:vAlign w:val="bottom"/>
            <w:gridSpan w:val="2"/>
            <w:shd w:val="clear" w:color="auto" w:fill="EEEEEE"/>
          </w:tcPr>
          <w:p>
            <w:pPr>
              <w:jc w:val="right"/>
              <w:ind w:right="16"/>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2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60" w:type="dxa"/>
            <w:vAlign w:val="bottom"/>
            <w:shd w:val="clear" w:color="auto" w:fill="EEEEEE"/>
          </w:tcPr>
          <w:p>
            <w:pPr>
              <w:spacing w:after="0"/>
              <w:rPr>
                <w:sz w:val="12"/>
                <w:szCs w:val="12"/>
                <w:color w:val="auto"/>
              </w:rPr>
            </w:pPr>
          </w:p>
        </w:tc>
        <w:tc>
          <w:tcPr>
            <w:tcW w:w="560" w:type="dxa"/>
            <w:vAlign w:val="bottom"/>
            <w:gridSpan w:val="3"/>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8.54</w:t>
            </w:r>
          </w:p>
        </w:tc>
        <w:tc>
          <w:tcPr>
            <w:tcW w:w="1040" w:type="dxa"/>
            <w:vAlign w:val="bottom"/>
            <w:gridSpan w:val="3"/>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0.3%</w:t>
            </w:r>
          </w:p>
        </w:tc>
      </w:tr>
      <w:tr>
        <w:trPr>
          <w:trHeight w:val="162"/>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(59.30)</w:t>
            </w:r>
          </w:p>
        </w:tc>
        <w:tc>
          <w:tcPr>
            <w:tcW w:w="1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(52.52)</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-6.1%</w:t>
            </w:r>
          </w:p>
        </w:tc>
        <w:tc>
          <w:tcPr>
            <w:tcW w:w="1280" w:type="dxa"/>
            <w:vAlign w:val="bottom"/>
            <w:gridSpan w:val="8"/>
          </w:tcPr>
          <w:p>
            <w:pPr>
              <w:jc w:val="right"/>
              <w:ind w:right="280"/>
              <w:spacing w:after="0"/>
              <w:rPr>
                <w:sz w:val="20"/>
                <w:szCs w:val="20"/>
                <w:color w:val="auto"/>
              </w:rPr>
            </w:pPr>
            <w:r>
              <w:rPr>
                <w:rFonts w:ascii="Times New Roman" w:cs="Times New Roman" w:eastAsia="Times New Roman" w:hAnsi="Times New Roman"/>
                <w:sz w:val="14"/>
                <w:szCs w:val="14"/>
                <w:color w:val="auto"/>
              </w:rPr>
              <w:t>(232.02)</w:t>
            </w:r>
          </w:p>
        </w:tc>
        <w:tc>
          <w:tcPr>
            <w:tcW w:w="100" w:type="dxa"/>
            <w:vAlign w:val="bottom"/>
          </w:tcPr>
          <w:p>
            <w:pPr>
              <w:spacing w:after="0"/>
              <w:rPr>
                <w:sz w:val="14"/>
                <w:szCs w:val="14"/>
                <w:color w:val="auto"/>
              </w:rPr>
            </w:pPr>
          </w:p>
        </w:tc>
        <w:tc>
          <w:tcPr>
            <w:tcW w:w="6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-6.3%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(191.26)</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-6.0%</w:t>
            </w:r>
          </w:p>
        </w:tc>
      </w:tr>
      <w:tr>
        <w:trPr>
          <w:trHeight w:val="142"/>
        </w:trPr>
        <w:tc>
          <w:tcPr>
            <w:tcW w:w="3380" w:type="dxa"/>
            <w:vAlign w:val="bottom"/>
            <w:tcBorders>
              <w:top w:val="single" w:sz="8" w:color="EEEEEE"/>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Net interest margin</w:t>
            </w:r>
          </w:p>
        </w:tc>
        <w:tc>
          <w:tcPr>
            <w:tcW w:w="180" w:type="dxa"/>
            <w:vAlign w:val="bottom"/>
            <w:tcBorders>
              <w:top w:val="single" w:sz="8" w:color="auto"/>
            </w:tcBorders>
            <w:shd w:val="clear" w:color="auto" w:fill="EEEEEE"/>
          </w:tcPr>
          <w:p>
            <w:pPr>
              <w:spacing w:after="0"/>
              <w:rPr>
                <w:sz w:val="12"/>
                <w:szCs w:val="12"/>
                <w:color w:val="auto"/>
              </w:rPr>
            </w:pPr>
          </w:p>
        </w:tc>
        <w:tc>
          <w:tcPr>
            <w:tcW w:w="52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50.11</w:t>
            </w:r>
          </w:p>
        </w:tc>
        <w:tc>
          <w:tcPr>
            <w:tcW w:w="34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rPr>
                <w:sz w:val="12"/>
                <w:szCs w:val="12"/>
                <w:color w:val="auto"/>
              </w:rPr>
            </w:pPr>
          </w:p>
        </w:tc>
        <w:tc>
          <w:tcPr>
            <w:tcW w:w="520" w:type="dxa"/>
            <w:vAlign w:val="bottom"/>
            <w:tcBorders>
              <w:top w:val="single" w:sz="8" w:color="auto"/>
            </w:tcBorders>
            <w:gridSpan w:val="2"/>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5.3%</w:t>
            </w:r>
          </w:p>
        </w:tc>
        <w:tc>
          <w:tcPr>
            <w:tcW w:w="12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auto"/>
            </w:tcBorders>
            <w:shd w:val="clear" w:color="auto" w:fill="EEEEEE"/>
          </w:tcPr>
          <w:p>
            <w:pPr>
              <w:spacing w:after="0"/>
              <w:rPr>
                <w:sz w:val="12"/>
                <w:szCs w:val="12"/>
                <w:color w:val="auto"/>
              </w:rPr>
            </w:pPr>
          </w:p>
        </w:tc>
        <w:tc>
          <w:tcPr>
            <w:tcW w:w="620" w:type="dxa"/>
            <w:vAlign w:val="bottom"/>
            <w:tcBorders>
              <w:top w:val="single" w:sz="8" w:color="auto"/>
            </w:tcBorders>
            <w:gridSpan w:val="2"/>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52.78</w:t>
            </w:r>
          </w:p>
        </w:tc>
        <w:tc>
          <w:tcPr>
            <w:tcW w:w="6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6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spacing w:after="0"/>
              <w:rPr>
                <w:sz w:val="12"/>
                <w:szCs w:val="12"/>
                <w:color w:val="auto"/>
              </w:rPr>
            </w:pPr>
          </w:p>
        </w:tc>
        <w:tc>
          <w:tcPr>
            <w:tcW w:w="52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6.1%</w:t>
            </w:r>
          </w:p>
        </w:tc>
        <w:tc>
          <w:tcPr>
            <w:tcW w:w="4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660" w:type="dxa"/>
            <w:vAlign w:val="bottom"/>
            <w:tcBorders>
              <w:top w:val="single" w:sz="8" w:color="auto"/>
            </w:tcBorders>
            <w:gridSpan w:val="5"/>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202.45</w:t>
            </w:r>
          </w:p>
        </w:tc>
        <w:tc>
          <w:tcPr>
            <w:tcW w:w="3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spacing w:after="0"/>
              <w:rPr>
                <w:sz w:val="12"/>
                <w:szCs w:val="12"/>
                <w:color w:val="auto"/>
              </w:rPr>
            </w:pPr>
          </w:p>
        </w:tc>
        <w:tc>
          <w:tcPr>
            <w:tcW w:w="56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spacing w:after="0"/>
              <w:rPr>
                <w:sz w:val="12"/>
                <w:szCs w:val="12"/>
                <w:color w:val="auto"/>
              </w:rPr>
            </w:pPr>
          </w:p>
        </w:tc>
        <w:tc>
          <w:tcPr>
            <w:tcW w:w="60" w:type="dxa"/>
            <w:vAlign w:val="bottom"/>
            <w:tcBorders>
              <w:top w:val="single" w:sz="8" w:color="auto"/>
            </w:tcBorders>
            <w:shd w:val="clear" w:color="auto" w:fill="EEEEEE"/>
          </w:tcPr>
          <w:p>
            <w:pPr>
              <w:spacing w:after="0"/>
              <w:rPr>
                <w:sz w:val="12"/>
                <w:szCs w:val="12"/>
                <w:color w:val="auto"/>
              </w:rPr>
            </w:pPr>
          </w:p>
        </w:tc>
        <w:tc>
          <w:tcPr>
            <w:tcW w:w="500" w:type="dxa"/>
            <w:vAlign w:val="bottom"/>
            <w:tcBorders>
              <w:top w:val="single" w:sz="8" w:color="auto"/>
            </w:tcBorders>
            <w:gridSpan w:val="2"/>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202.25</w:t>
            </w:r>
          </w:p>
        </w:tc>
        <w:tc>
          <w:tcPr>
            <w:tcW w:w="60" w:type="dxa"/>
            <w:vAlign w:val="bottom"/>
            <w:tcBorders>
              <w:top w:val="single" w:sz="8" w:color="EEEEEE"/>
            </w:tcBorders>
            <w:shd w:val="clear" w:color="auto" w:fill="EEEEEE"/>
          </w:tcPr>
          <w:p>
            <w:pPr>
              <w:spacing w:after="0"/>
              <w:rPr>
                <w:sz w:val="12"/>
                <w:szCs w:val="12"/>
                <w:color w:val="auto"/>
              </w:rPr>
            </w:pPr>
          </w:p>
        </w:tc>
        <w:tc>
          <w:tcPr>
            <w:tcW w:w="280" w:type="dxa"/>
            <w:vAlign w:val="bottom"/>
            <w:tcBorders>
              <w:top w:val="single" w:sz="8" w:color="EEEEEE"/>
            </w:tcBorders>
            <w:shd w:val="clear" w:color="auto" w:fill="EEEEEE"/>
          </w:tcPr>
          <w:p>
            <w:pPr>
              <w:spacing w:after="0"/>
              <w:rPr>
                <w:sz w:val="12"/>
                <w:szCs w:val="12"/>
                <w:color w:val="auto"/>
              </w:rPr>
            </w:pPr>
          </w:p>
        </w:tc>
        <w:tc>
          <w:tcPr>
            <w:tcW w:w="66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top w:val="single" w:sz="8" w:color="EEEEEE"/>
            </w:tcBorders>
            <w:shd w:val="clear" w:color="auto" w:fill="EEEEEE"/>
          </w:tcPr>
          <w:p>
            <w:pPr>
              <w:spacing w:after="0"/>
              <w:rPr>
                <w:sz w:val="12"/>
                <w:szCs w:val="12"/>
                <w:color w:val="auto"/>
              </w:rPr>
            </w:pPr>
          </w:p>
        </w:tc>
      </w:tr>
      <w:tr>
        <w:trPr>
          <w:trHeight w:val="162"/>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18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0.46</w:t>
            </w:r>
          </w:p>
        </w:tc>
        <w:tc>
          <w:tcPr>
            <w:tcW w:w="1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0.73</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4"/>
          </w:tcPr>
          <w:p>
            <w:pPr>
              <w:jc w:val="right"/>
              <w:ind w:right="320"/>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Pr>
          <w:p>
            <w:pPr>
              <w:spacing w:after="0"/>
              <w:rPr>
                <w:sz w:val="14"/>
                <w:szCs w:val="14"/>
                <w:color w:val="auto"/>
              </w:rPr>
            </w:pPr>
          </w:p>
        </w:tc>
        <w:tc>
          <w:tcPr>
            <w:tcW w:w="6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5.31</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0.2%</w:t>
            </w:r>
          </w:p>
        </w:tc>
      </w:tr>
      <w:tr>
        <w:trPr>
          <w:trHeight w:val="142"/>
        </w:trPr>
        <w:tc>
          <w:tcPr>
            <w:tcW w:w="3380" w:type="dxa"/>
            <w:vAlign w:val="bottom"/>
            <w:tcBorders>
              <w:top w:val="single" w:sz="8" w:color="EEEEEE"/>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Risk adjusted margin</w:t>
            </w:r>
          </w:p>
        </w:tc>
        <w:tc>
          <w:tcPr>
            <w:tcW w:w="180" w:type="dxa"/>
            <w:vAlign w:val="bottom"/>
            <w:tcBorders>
              <w:top w:val="single" w:sz="8" w:color="auto"/>
            </w:tcBorders>
            <w:shd w:val="clear" w:color="auto" w:fill="EEEEEE"/>
          </w:tcPr>
          <w:p>
            <w:pPr>
              <w:spacing w:after="0"/>
              <w:rPr>
                <w:sz w:val="12"/>
                <w:szCs w:val="12"/>
                <w:color w:val="auto"/>
              </w:rPr>
            </w:pPr>
          </w:p>
        </w:tc>
        <w:tc>
          <w:tcPr>
            <w:tcW w:w="52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50.57</w:t>
            </w:r>
          </w:p>
        </w:tc>
        <w:tc>
          <w:tcPr>
            <w:tcW w:w="34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rPr>
                <w:sz w:val="12"/>
                <w:szCs w:val="12"/>
                <w:color w:val="auto"/>
              </w:rPr>
            </w:pPr>
          </w:p>
        </w:tc>
        <w:tc>
          <w:tcPr>
            <w:tcW w:w="520" w:type="dxa"/>
            <w:vAlign w:val="bottom"/>
            <w:tcBorders>
              <w:top w:val="single" w:sz="8" w:color="auto"/>
            </w:tcBorders>
            <w:gridSpan w:val="2"/>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5.4%</w:t>
            </w:r>
          </w:p>
        </w:tc>
        <w:tc>
          <w:tcPr>
            <w:tcW w:w="12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auto"/>
            </w:tcBorders>
            <w:shd w:val="clear" w:color="auto" w:fill="EEEEEE"/>
          </w:tcPr>
          <w:p>
            <w:pPr>
              <w:spacing w:after="0"/>
              <w:rPr>
                <w:sz w:val="12"/>
                <w:szCs w:val="12"/>
                <w:color w:val="auto"/>
              </w:rPr>
            </w:pPr>
          </w:p>
        </w:tc>
        <w:tc>
          <w:tcPr>
            <w:tcW w:w="620" w:type="dxa"/>
            <w:vAlign w:val="bottom"/>
            <w:tcBorders>
              <w:top w:val="single" w:sz="8" w:color="auto"/>
            </w:tcBorders>
            <w:gridSpan w:val="2"/>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53.51</w:t>
            </w:r>
          </w:p>
        </w:tc>
        <w:tc>
          <w:tcPr>
            <w:tcW w:w="6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6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spacing w:after="0"/>
              <w:rPr>
                <w:sz w:val="12"/>
                <w:szCs w:val="12"/>
                <w:color w:val="auto"/>
              </w:rPr>
            </w:pPr>
          </w:p>
        </w:tc>
        <w:tc>
          <w:tcPr>
            <w:tcW w:w="52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4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660" w:type="dxa"/>
            <w:vAlign w:val="bottom"/>
            <w:tcBorders>
              <w:top w:val="single" w:sz="8" w:color="auto"/>
            </w:tcBorders>
            <w:gridSpan w:val="5"/>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205.38</w:t>
            </w:r>
          </w:p>
        </w:tc>
        <w:tc>
          <w:tcPr>
            <w:tcW w:w="3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spacing w:after="0"/>
              <w:rPr>
                <w:sz w:val="12"/>
                <w:szCs w:val="12"/>
                <w:color w:val="auto"/>
              </w:rPr>
            </w:pPr>
          </w:p>
        </w:tc>
        <w:tc>
          <w:tcPr>
            <w:tcW w:w="56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spacing w:after="0"/>
              <w:rPr>
                <w:sz w:val="12"/>
                <w:szCs w:val="12"/>
                <w:color w:val="auto"/>
              </w:rPr>
            </w:pPr>
          </w:p>
        </w:tc>
        <w:tc>
          <w:tcPr>
            <w:tcW w:w="60" w:type="dxa"/>
            <w:vAlign w:val="bottom"/>
            <w:tcBorders>
              <w:top w:val="single" w:sz="8" w:color="auto"/>
            </w:tcBorders>
            <w:shd w:val="clear" w:color="auto" w:fill="EEEEEE"/>
          </w:tcPr>
          <w:p>
            <w:pPr>
              <w:spacing w:after="0"/>
              <w:rPr>
                <w:sz w:val="12"/>
                <w:szCs w:val="12"/>
                <w:color w:val="auto"/>
              </w:rPr>
            </w:pPr>
          </w:p>
        </w:tc>
        <w:tc>
          <w:tcPr>
            <w:tcW w:w="500" w:type="dxa"/>
            <w:vAlign w:val="bottom"/>
            <w:tcBorders>
              <w:top w:val="single" w:sz="8" w:color="auto"/>
            </w:tcBorders>
            <w:gridSpan w:val="2"/>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207.56</w:t>
            </w:r>
          </w:p>
        </w:tc>
        <w:tc>
          <w:tcPr>
            <w:tcW w:w="60" w:type="dxa"/>
            <w:vAlign w:val="bottom"/>
            <w:tcBorders>
              <w:top w:val="single" w:sz="8" w:color="EEEEEE"/>
            </w:tcBorders>
            <w:shd w:val="clear" w:color="auto" w:fill="EEEEEE"/>
          </w:tcPr>
          <w:p>
            <w:pPr>
              <w:spacing w:after="0"/>
              <w:rPr>
                <w:sz w:val="12"/>
                <w:szCs w:val="12"/>
                <w:color w:val="auto"/>
              </w:rPr>
            </w:pPr>
          </w:p>
        </w:tc>
        <w:tc>
          <w:tcPr>
            <w:tcW w:w="280" w:type="dxa"/>
            <w:vAlign w:val="bottom"/>
            <w:tcBorders>
              <w:top w:val="single" w:sz="8" w:color="EEEEEE"/>
            </w:tcBorders>
            <w:shd w:val="clear" w:color="auto" w:fill="EEEEEE"/>
          </w:tcPr>
          <w:p>
            <w:pPr>
              <w:spacing w:after="0"/>
              <w:rPr>
                <w:sz w:val="12"/>
                <w:szCs w:val="12"/>
                <w:color w:val="auto"/>
              </w:rPr>
            </w:pPr>
          </w:p>
        </w:tc>
        <w:tc>
          <w:tcPr>
            <w:tcW w:w="66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top w:val="single" w:sz="8" w:color="EEEEEE"/>
            </w:tcBorders>
            <w:shd w:val="clear" w:color="auto" w:fill="EEEEEE"/>
          </w:tcPr>
          <w:p>
            <w:pPr>
              <w:spacing w:after="0"/>
              <w:rPr>
                <w:sz w:val="12"/>
                <w:szCs w:val="12"/>
                <w:color w:val="auto"/>
              </w:rPr>
            </w:pPr>
          </w:p>
        </w:tc>
      </w:tr>
      <w:tr>
        <w:trPr>
          <w:trHeight w:val="162"/>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Other operating expenses (5)</w:t>
            </w:r>
          </w:p>
        </w:tc>
        <w:tc>
          <w:tcPr>
            <w:tcW w:w="1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(43.35)</w:t>
            </w:r>
          </w:p>
        </w:tc>
        <w:tc>
          <w:tcPr>
            <w:tcW w:w="1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(46.16)</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w:t>
            </w:r>
          </w:p>
        </w:tc>
        <w:tc>
          <w:tcPr>
            <w:tcW w:w="1280" w:type="dxa"/>
            <w:vAlign w:val="bottom"/>
            <w:gridSpan w:val="8"/>
          </w:tcPr>
          <w:p>
            <w:pPr>
              <w:jc w:val="right"/>
              <w:ind w:right="280"/>
              <w:spacing w:after="0"/>
              <w:rPr>
                <w:sz w:val="20"/>
                <w:szCs w:val="20"/>
                <w:color w:val="auto"/>
              </w:rPr>
            </w:pPr>
            <w:r>
              <w:rPr>
                <w:rFonts w:ascii="Times New Roman" w:cs="Times New Roman" w:eastAsia="Times New Roman" w:hAnsi="Times New Roman"/>
                <w:sz w:val="14"/>
                <w:szCs w:val="14"/>
                <w:color w:val="auto"/>
              </w:rPr>
              <w:t>(177.38)</w:t>
            </w:r>
          </w:p>
        </w:tc>
        <w:tc>
          <w:tcPr>
            <w:tcW w:w="100" w:type="dxa"/>
            <w:vAlign w:val="bottom"/>
          </w:tcPr>
          <w:p>
            <w:pPr>
              <w:spacing w:after="0"/>
              <w:rPr>
                <w:sz w:val="14"/>
                <w:szCs w:val="14"/>
                <w:color w:val="auto"/>
              </w:rPr>
            </w:pPr>
          </w:p>
        </w:tc>
        <w:tc>
          <w:tcPr>
            <w:tcW w:w="6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color w:val="auto"/>
              </w:rPr>
              <w:t>-4.8%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(180.13)</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-5.6%</w:t>
            </w:r>
          </w:p>
        </w:tc>
      </w:tr>
      <w:tr>
        <w:trPr>
          <w:trHeight w:val="142"/>
        </w:trPr>
        <w:tc>
          <w:tcPr>
            <w:tcW w:w="3380" w:type="dxa"/>
            <w:vAlign w:val="bottom"/>
            <w:tcBorders>
              <w:top w:val="single" w:sz="8" w:color="EEEEEE"/>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Pre-tax income</w:t>
            </w:r>
          </w:p>
        </w:tc>
        <w:tc>
          <w:tcPr>
            <w:tcW w:w="180" w:type="dxa"/>
            <w:vAlign w:val="bottom"/>
            <w:tcBorders>
              <w:top w:val="single" w:sz="8" w:color="auto"/>
            </w:tcBorders>
            <w:shd w:val="clear" w:color="auto" w:fill="EEEEEE"/>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7.22</w:t>
            </w:r>
          </w:p>
        </w:tc>
        <w:tc>
          <w:tcPr>
            <w:tcW w:w="34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rPr>
                <w:sz w:val="12"/>
                <w:szCs w:val="12"/>
                <w:color w:val="auto"/>
              </w:rPr>
            </w:pPr>
          </w:p>
        </w:tc>
        <w:tc>
          <w:tcPr>
            <w:tcW w:w="520" w:type="dxa"/>
            <w:vAlign w:val="bottom"/>
            <w:tcBorders>
              <w:top w:val="single" w:sz="8" w:color="auto"/>
            </w:tcBorders>
            <w:gridSpan w:val="2"/>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0.8%</w:t>
            </w:r>
          </w:p>
        </w:tc>
        <w:tc>
          <w:tcPr>
            <w:tcW w:w="12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gridSpan w:val="2"/>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7.35</w:t>
            </w:r>
          </w:p>
        </w:tc>
        <w:tc>
          <w:tcPr>
            <w:tcW w:w="6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6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spacing w:after="0"/>
              <w:rPr>
                <w:sz w:val="12"/>
                <w:szCs w:val="12"/>
                <w:color w:val="auto"/>
              </w:rPr>
            </w:pPr>
          </w:p>
        </w:tc>
        <w:tc>
          <w:tcPr>
            <w:tcW w:w="52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0.9%</w:t>
            </w:r>
          </w:p>
        </w:tc>
        <w:tc>
          <w:tcPr>
            <w:tcW w:w="4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300" w:type="dxa"/>
            <w:vAlign w:val="bottom"/>
            <w:tcBorders>
              <w:top w:val="single" w:sz="8" w:color="auto"/>
            </w:tcBorders>
            <w:shd w:val="clear" w:color="auto" w:fill="EEEEEE"/>
          </w:tcPr>
          <w:p>
            <w:pPr>
              <w:jc w:val="right"/>
              <w:ind w:right="172"/>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top w:val="single" w:sz="8" w:color="auto"/>
            </w:tcBorders>
            <w:shd w:val="clear" w:color="auto" w:fill="EEEEEE"/>
          </w:tcPr>
          <w:p>
            <w:pPr>
              <w:spacing w:after="0"/>
              <w:rPr>
                <w:sz w:val="12"/>
                <w:szCs w:val="12"/>
                <w:color w:val="auto"/>
              </w:rPr>
            </w:pPr>
          </w:p>
        </w:tc>
        <w:tc>
          <w:tcPr>
            <w:tcW w:w="340" w:type="dxa"/>
            <w:vAlign w:val="bottom"/>
            <w:tcBorders>
              <w:top w:val="single" w:sz="8" w:color="auto"/>
            </w:tcBorders>
            <w:gridSpan w:val="3"/>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28.00</w:t>
            </w:r>
          </w:p>
        </w:tc>
        <w:tc>
          <w:tcPr>
            <w:tcW w:w="3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spacing w:after="0"/>
              <w:rPr>
                <w:sz w:val="12"/>
                <w:szCs w:val="12"/>
                <w:color w:val="auto"/>
              </w:rPr>
            </w:pPr>
          </w:p>
        </w:tc>
        <w:tc>
          <w:tcPr>
            <w:tcW w:w="56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0.8%</w:t>
            </w:r>
          </w:p>
        </w:tc>
        <w:tc>
          <w:tcPr>
            <w:tcW w:w="10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0" w:type="dxa"/>
            <w:vAlign w:val="bottom"/>
            <w:tcBorders>
              <w:top w:val="single" w:sz="8" w:color="auto"/>
            </w:tcBorders>
            <w:shd w:val="clear" w:color="auto" w:fill="EEEEEE"/>
          </w:tcPr>
          <w:p>
            <w:pPr>
              <w:spacing w:after="0"/>
              <w:rPr>
                <w:sz w:val="12"/>
                <w:szCs w:val="12"/>
                <w:color w:val="auto"/>
              </w:rPr>
            </w:pPr>
          </w:p>
        </w:tc>
        <w:tc>
          <w:tcPr>
            <w:tcW w:w="500" w:type="dxa"/>
            <w:vAlign w:val="bottom"/>
            <w:tcBorders>
              <w:top w:val="single" w:sz="8" w:color="auto"/>
            </w:tcBorders>
            <w:gridSpan w:val="2"/>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27.43</w:t>
            </w:r>
          </w:p>
        </w:tc>
        <w:tc>
          <w:tcPr>
            <w:tcW w:w="60" w:type="dxa"/>
            <w:vAlign w:val="bottom"/>
            <w:tcBorders>
              <w:top w:val="single" w:sz="8" w:color="EEEEEE"/>
            </w:tcBorders>
            <w:shd w:val="clear" w:color="auto" w:fill="EEEEEE"/>
          </w:tcPr>
          <w:p>
            <w:pPr>
              <w:spacing w:after="0"/>
              <w:rPr>
                <w:sz w:val="12"/>
                <w:szCs w:val="12"/>
                <w:color w:val="auto"/>
              </w:rPr>
            </w:pPr>
          </w:p>
        </w:tc>
        <w:tc>
          <w:tcPr>
            <w:tcW w:w="280" w:type="dxa"/>
            <w:vAlign w:val="bottom"/>
            <w:tcBorders>
              <w:top w:val="single" w:sz="8" w:color="EEEEEE"/>
            </w:tcBorders>
            <w:shd w:val="clear" w:color="auto" w:fill="EEEEEE"/>
          </w:tcPr>
          <w:p>
            <w:pPr>
              <w:spacing w:after="0"/>
              <w:rPr>
                <w:sz w:val="12"/>
                <w:szCs w:val="12"/>
                <w:color w:val="auto"/>
              </w:rPr>
            </w:pPr>
          </w:p>
        </w:tc>
        <w:tc>
          <w:tcPr>
            <w:tcW w:w="66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0.9%</w:t>
            </w:r>
          </w:p>
        </w:tc>
        <w:tc>
          <w:tcPr>
            <w:tcW w:w="100" w:type="dxa"/>
            <w:vAlign w:val="bottom"/>
            <w:tcBorders>
              <w:top w:val="single" w:sz="8" w:color="EEEEEE"/>
            </w:tcBorders>
            <w:shd w:val="clear" w:color="auto" w:fill="EEEEEE"/>
          </w:tcPr>
          <w:p>
            <w:pPr>
              <w:spacing w:after="0"/>
              <w:rPr>
                <w:sz w:val="12"/>
                <w:szCs w:val="12"/>
                <w:color w:val="auto"/>
              </w:rPr>
            </w:pPr>
          </w:p>
        </w:tc>
      </w:tr>
    </w:tbl>
    <w:p>
      <w:pPr>
        <w:spacing w:after="0" w:line="220"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third party portfolios.</w:t>
      </w:r>
    </w:p>
    <w:p>
      <w:pPr>
        <w:spacing w:after="0" w:line="3" w:lineRule="exact"/>
        <w:rPr>
          <w:rFonts w:ascii="Times New Roman" w:cs="Times New Roman" w:eastAsia="Times New Roman" w:hAnsi="Times New Roman"/>
          <w:sz w:val="14"/>
          <w:szCs w:val="14"/>
          <w:color w:val="auto"/>
        </w:rPr>
      </w:pPr>
    </w:p>
    <w:p>
      <w:pPr>
        <w:ind w:left="240" w:hanging="232"/>
        <w:spacing w:after="0" w:line="221" w:lineRule="auto"/>
        <w:tabs>
          <w:tab w:leader="none" w:pos="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Wholesale auction liquidation amounts (net of expenses) as a percentage of the account balance at the time of sale.</w:t>
      </w:r>
    </w:p>
    <w:p>
      <w:pPr>
        <w:ind w:left="240" w:hanging="232"/>
        <w:spacing w:after="0" w:line="221" w:lineRule="auto"/>
        <w:tabs>
          <w:tab w:leader="none" w:pos="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Numbers may not add due to rounding.</w:t>
      </w:r>
    </w:p>
    <w:p>
      <w:pPr>
        <w:ind w:left="240" w:hanging="232"/>
        <w:spacing w:after="0" w:line="221" w:lineRule="auto"/>
        <w:tabs>
          <w:tab w:leader="none" w:pos="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 percentage of the average portfolio balance. Percentages may not add due to rounding.</w:t>
      </w:r>
    </w:p>
    <w:p>
      <w:pPr>
        <w:ind w:left="240" w:hanging="232"/>
        <w:spacing w:after="0"/>
        <w:tabs>
          <w:tab w:leader="none" w:pos="2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pre-tax expenses less provision for credit losses and interest expense.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2026-03-10T15:50:04Z</dcterms:created>
  <dcterms:modified xsi:type="dcterms:W3CDTF">2026-03-10T15:50:04Z</dcterms:modified>
</cp:coreProperties>
</file>