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 of Report (Date of earliest event reported) March 4,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20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17"/>
                <w:szCs w:val="17"/>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(Commission</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File Number)</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4, 2026, the registrant announced the closing of a $50 million securitization of residual interests from previously issued securitizations secured by an 80% interest in a Consumer Portfolio Services, Inc. (“CPS”) majority owned affiliate (“MOA”) that owns the residual interests in four CPS securitizations issued from January 2025 through October 2025. The coupon on the notes is 8.75%.</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MOA interest includes 80% of the amounts on deposit in the underlying spread accounts for each related securitization and 80% of the over-collateralization of each related securitization, which is the difference between the outstanding principal balance of the related receivables less the outstanding principal balance of the notes associated with the securitization. On each monthly payment date, the notes will be paid interest at the coupon rate and, if necessary, a principal payment necessary to maintain a specified minimum collateral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CPS disclaims any implication that the agreements described in this report are other than agreements entered into in the ordinary course of CPS's 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Neither financial statements nor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filed with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included with this report: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News release re March 4, 2026 transaction.</w:t>
      </w:r>
    </w:p>
    <w:p>
      <w:pPr>
        <w:spacing w:after="0" w:line="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2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60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2026</w:t>
            </w:r>
          </w:p>
        </w:tc>
        <w:tc>
          <w:tcPr>
            <w:tcW w:w="62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10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7160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CPS Announces $50.0 Million Securitization of Residual Interests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LAS VEGAS, Nevada, March 4, 2026 (GlobeNewswire) </w:t>
      </w:r>
      <w:r>
        <w:rPr>
          <w:rFonts w:ascii="Times New Roman" w:cs="Times New Roman" w:eastAsia="Times New Roman" w:hAnsi="Times New Roman"/>
          <w:sz w:val="18"/>
          <w:szCs w:val="18"/>
          <w:color w:val="auto"/>
        </w:rPr>
        <w:t>– Consumer Portfolio Services, Inc. (Nasdaq: CPSS) (“CPS” or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closing of a $50.0 million securitization of residual interests from previously issued securitizations.</w:t>
      </w:r>
    </w:p>
    <w:p>
      <w:pPr>
        <w:spacing w:after="0" w:line="15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In the transaction, qualified institutional buyers purchased $50.0 million of asset-backed notes secured by an 80% interest in a CPS majority owned affiliate (“MOA”) that owns the residual interests in four CPS securitizations issued from January 2025 through October 2025. The coupon on the notes is 8.75%.</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MOA interest includes 80% of the amounts on deposit in the underlying spread accounts for each related securitization and 80% of the over-collateralization of each related securitization, which is the difference between the outstanding principal balance of the related receivables less the outstanding principal balance of the notes associated with the securitization. On each monthly payment date, the notes will be paid interest at the coupon rate and, if necessary, a principal payment to maintain a specified minimum collateral ratio.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was a private offering of securities, not registered under the Securities Act of 1933, or any state securities law. All of such securities having been sold, this announcement of their sale appears as a matter of record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Consumer Portfolio Services,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Danny Bharwani, EVP/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949-753-6811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2026-03-04T16:06:36Z</dcterms:created>
  <dcterms:modified xsi:type="dcterms:W3CDTF">2026-03-04T16:06:36Z</dcterms:modified>
</cp:coreProperties>
</file>